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3E88A"/>
    <w:p w14:paraId="5E7C3423">
      <w:pPr>
        <w:spacing w:line="15798" w:lineRule="exact"/>
      </w:pPr>
      <w:r>
        <w:rPr>
          <w:position w:val="-315"/>
        </w:rPr>
        <w:drawing>
          <wp:inline distT="0" distB="0" distL="0" distR="0">
            <wp:extent cx="7123430" cy="1003173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123803" cy="10032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F42CAA">
      <w:pPr>
        <w:spacing w:before="240" w:line="600" w:lineRule="exact"/>
        <w:ind w:firstLine="9179"/>
      </w:pPr>
    </w:p>
    <w:p w14:paraId="108978A3">
      <w:pPr>
        <w:spacing w:line="600" w:lineRule="exact"/>
        <w:sectPr>
          <w:headerReference r:id="rId5" w:type="default"/>
          <w:footerReference r:id="rId6" w:type="default"/>
          <w:pgSz w:w="11900" w:h="16840"/>
          <w:pgMar w:top="1" w:right="300" w:bottom="1" w:left="340" w:header="0" w:footer="0" w:gutter="0"/>
          <w:cols w:space="720" w:num="1"/>
        </w:sectPr>
      </w:pPr>
    </w:p>
    <w:p w14:paraId="27166D1D">
      <w:pPr>
        <w:rPr>
          <w:rFonts w:ascii="Arial"/>
          <w:sz w:val="21"/>
        </w:rPr>
      </w:pPr>
    </w:p>
    <w:p w14:paraId="5517EF2A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0" w:right="0" w:bottom="0" w:left="0" w:header="0" w:footer="0" w:gutter="0"/>
          <w:cols w:space="720" w:num="1"/>
        </w:sectPr>
      </w:pPr>
    </w:p>
    <w:p w14:paraId="1FAD4BE1">
      <w:pPr>
        <w:spacing w:line="277" w:lineRule="auto"/>
        <w:rPr>
          <w:rFonts w:ascii="Arial"/>
          <w:sz w:val="21"/>
        </w:rPr>
      </w:pPr>
    </w:p>
    <w:p w14:paraId="1C103821">
      <w:pPr>
        <w:spacing w:line="277" w:lineRule="auto"/>
        <w:rPr>
          <w:rFonts w:ascii="Arial"/>
          <w:sz w:val="21"/>
        </w:rPr>
      </w:pPr>
    </w:p>
    <w:p w14:paraId="64D36106">
      <w:pPr>
        <w:spacing w:line="277" w:lineRule="auto"/>
        <w:rPr>
          <w:rFonts w:ascii="Arial"/>
          <w:sz w:val="21"/>
        </w:rPr>
      </w:pPr>
    </w:p>
    <w:p w14:paraId="1B254538">
      <w:pPr>
        <w:spacing w:line="277" w:lineRule="auto"/>
        <w:rPr>
          <w:rFonts w:ascii="Arial"/>
          <w:sz w:val="21"/>
        </w:rPr>
      </w:pPr>
    </w:p>
    <w:p w14:paraId="2EAE2222">
      <w:pPr>
        <w:spacing w:before="101" w:line="228" w:lineRule="auto"/>
        <w:ind w:left="67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一、基本情况</w:t>
      </w:r>
    </w:p>
    <w:p w14:paraId="35A8B2DC">
      <w:pPr>
        <w:widowControl w:val="0"/>
        <w:kinsoku/>
        <w:autoSpaceDE/>
        <w:autoSpaceDN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Times New Roman" w:hAnsi="Times New Roman" w:eastAsia="楷体_GB2312" w:cs="Times New Roman"/>
          <w:b/>
          <w:bCs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楷体_GB2312" w:cs="Times New Roman"/>
          <w:b/>
          <w:bCs/>
          <w:snapToGrid/>
          <w:kern w:val="2"/>
          <w:sz w:val="32"/>
          <w:szCs w:val="32"/>
          <w:lang w:eastAsia="zh-CN"/>
        </w:rPr>
        <w:t>（一）项目概况</w:t>
      </w:r>
    </w:p>
    <w:p w14:paraId="410E80F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" w:line="560" w:lineRule="exact"/>
        <w:ind w:left="679"/>
        <w:textAlignment w:val="baseline"/>
        <w:rPr>
          <w:b/>
          <w:bCs/>
          <w:spacing w:val="4"/>
        </w:rPr>
      </w:pPr>
      <w:r>
        <w:rPr>
          <w:b/>
          <w:bCs/>
          <w:spacing w:val="4"/>
        </w:rPr>
        <w:t>1.项目背景</w:t>
      </w:r>
    </w:p>
    <w:p w14:paraId="078362E8">
      <w:pPr>
        <w:pStyle w:val="2"/>
        <w:spacing w:before="195" w:line="332" w:lineRule="auto"/>
        <w:ind w:left="23" w:right="229" w:firstLine="653"/>
      </w:pPr>
      <w:r>
        <w:rPr>
          <w:spacing w:val="12"/>
        </w:rPr>
        <w:t>为满足本单位业务运转，根据乌财建〔</w:t>
      </w:r>
      <w:r>
        <w:rPr>
          <w:rFonts w:ascii="Times New Roman" w:hAnsi="Times New Roman" w:eastAsia="Times New Roman" w:cs="Times New Roman"/>
          <w:spacing w:val="12"/>
        </w:rPr>
        <w:t>2024</w:t>
      </w:r>
      <w:r>
        <w:rPr>
          <w:spacing w:val="12"/>
        </w:rPr>
        <w:t>〕</w:t>
      </w:r>
      <w:r>
        <w:rPr>
          <w:rFonts w:ascii="Times New Roman" w:hAnsi="Times New Roman" w:eastAsia="Times New Roman" w:cs="Times New Roman"/>
          <w:spacing w:val="12"/>
        </w:rPr>
        <w:t>87</w:t>
      </w:r>
      <w:r>
        <w:rPr>
          <w:spacing w:val="12"/>
        </w:rPr>
        <w:t>号关于拨付历年城维费文件批准，乌财建〔</w:t>
      </w:r>
      <w:r>
        <w:rPr>
          <w:rFonts w:ascii="Times New Roman" w:hAnsi="Times New Roman" w:eastAsia="Times New Roman" w:cs="Times New Roman"/>
          <w:spacing w:val="12"/>
        </w:rPr>
        <w:t>2024</w:t>
      </w:r>
      <w:r>
        <w:rPr>
          <w:spacing w:val="12"/>
        </w:rPr>
        <w:t>〕</w:t>
      </w:r>
      <w:r>
        <w:rPr>
          <w:rFonts w:ascii="Times New Roman" w:hAnsi="Times New Roman" w:eastAsia="Times New Roman" w:cs="Times New Roman"/>
          <w:spacing w:val="12"/>
        </w:rPr>
        <w:t>87</w:t>
      </w:r>
      <w:r>
        <w:rPr>
          <w:spacing w:val="12"/>
        </w:rPr>
        <w:t>号关于拨付历</w:t>
      </w:r>
      <w:r>
        <w:rPr>
          <w:spacing w:val="15"/>
        </w:rPr>
        <w:t>年城维费为年中部门追加预算下达指标，属</w:t>
      </w:r>
      <w:r>
        <w:rPr>
          <w:spacing w:val="14"/>
        </w:rPr>
        <w:t>于业务性项目</w:t>
      </w:r>
      <w:r>
        <w:rPr>
          <w:rFonts w:hint="eastAsia"/>
          <w:spacing w:val="14"/>
          <w:lang w:eastAsia="zh-CN"/>
        </w:rPr>
        <w:t>，</w:t>
      </w:r>
      <w:r>
        <w:rPr>
          <w:spacing w:val="14"/>
        </w:rPr>
        <w:t>未</w:t>
      </w:r>
      <w:r>
        <w:rPr>
          <w:spacing w:val="12"/>
        </w:rPr>
        <w:t>达到招投标限额</w:t>
      </w:r>
      <w:r>
        <w:rPr>
          <w:rFonts w:hint="eastAsia"/>
          <w:spacing w:val="12"/>
          <w:lang w:eastAsia="zh-CN"/>
        </w:rPr>
        <w:t>，</w:t>
      </w:r>
      <w:r>
        <w:rPr>
          <w:spacing w:val="12"/>
        </w:rPr>
        <w:t>由本单位自行组织该实施。实施过程均按照</w:t>
      </w:r>
      <w:r>
        <w:rPr>
          <w:spacing w:val="8"/>
        </w:rPr>
        <w:t>本单位制定的管理制度执行。</w:t>
      </w:r>
    </w:p>
    <w:p w14:paraId="05DA786E">
      <w:pPr>
        <w:pStyle w:val="2"/>
        <w:spacing w:before="9" w:line="221" w:lineRule="auto"/>
        <w:ind w:left="679"/>
      </w:pPr>
      <w:r>
        <w:rPr>
          <w:b/>
          <w:bCs/>
          <w:spacing w:val="4"/>
        </w:rPr>
        <w:t>2.项目主要内容及实施情况</w:t>
      </w:r>
    </w:p>
    <w:p w14:paraId="60FFE27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项目主要内容：用于支付历年业务车辆运行相关费用包括：运行车辆耗油料支出，车辆维修费、保险费、购置副油、轮胎、扫刷等。顺利完成辖区生活垃圾清运、夏季道路清扫、洒水降尘、冬季冰雪清除、餐厨垃圾收集、重点垃圾清运及临时应急工作任务。</w:t>
      </w:r>
    </w:p>
    <w:p w14:paraId="34DB6F2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64" w:firstLineChars="200"/>
        <w:jc w:val="both"/>
        <w:textAlignment w:val="baseline"/>
        <w:rPr>
          <w:b/>
          <w:bCs/>
          <w:spacing w:val="3"/>
        </w:rPr>
      </w:pPr>
      <w:r>
        <w:rPr>
          <w:rFonts w:hint="eastAsia"/>
          <w:spacing w:val="11"/>
          <w:lang w:val="en-US" w:eastAsia="zh-CN"/>
        </w:rPr>
        <w:t>项目实施情况：自开展物业城市市场化以来，清运队保有162辆环卫作业车辆，包括大型吊臂式垃圾车、T型压缩垃圾车，压缩垃圾车，桶装垃圾运输车，车厢可卸式垃圾车，餐厨垃圾车，压缩垃圾车，无泄漏垃圾车，8吨餐厨垃圾车，3吨压缩垃圾车，通过不断优化清扫管理机制与质量管控，着重应对重点清运场景，提升应急响应能力，持续提高清运效率，及时高效的完成辖区内机扫面积395万平方米的生活垃圾清运、夏季道路清扫、洒水降尘、冬季冰雪清除、餐厨垃圾收集、重点垃圾清运及临时应急工作任务。</w:t>
      </w:r>
    </w:p>
    <w:p w14:paraId="5179F61B">
      <w:pPr>
        <w:pStyle w:val="2"/>
        <w:spacing w:line="219" w:lineRule="auto"/>
        <w:ind w:left="692"/>
        <w:rPr>
          <w:b/>
          <w:bCs/>
          <w:spacing w:val="3"/>
        </w:rPr>
      </w:pPr>
    </w:p>
    <w:p w14:paraId="6DB566CF">
      <w:pPr>
        <w:pStyle w:val="2"/>
        <w:spacing w:line="219" w:lineRule="auto"/>
        <w:ind w:left="692"/>
      </w:pPr>
      <w:r>
        <w:rPr>
          <w:b/>
          <w:bCs/>
          <w:spacing w:val="3"/>
        </w:rPr>
        <w:t>3.资金投入和使用情况</w:t>
      </w:r>
    </w:p>
    <w:p w14:paraId="0A911F2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</w:p>
    <w:p w14:paraId="0FDE0A7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（1）资金投入情况</w:t>
      </w:r>
    </w:p>
    <w:p w14:paraId="4829DFD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经&lt;</w:t>
      </w:r>
      <w:r>
        <w:rPr>
          <w:spacing w:val="12"/>
        </w:rPr>
        <w:t>乌财建〔</w:t>
      </w:r>
      <w:r>
        <w:rPr>
          <w:rFonts w:ascii="Times New Roman" w:hAnsi="Times New Roman" w:eastAsia="Times New Roman" w:cs="Times New Roman"/>
          <w:spacing w:val="12"/>
        </w:rPr>
        <w:t>2024</w:t>
      </w:r>
      <w:r>
        <w:rPr>
          <w:spacing w:val="12"/>
        </w:rPr>
        <w:t>〕</w:t>
      </w:r>
      <w:r>
        <w:rPr>
          <w:rFonts w:ascii="Times New Roman" w:hAnsi="Times New Roman" w:eastAsia="Times New Roman" w:cs="Times New Roman"/>
          <w:spacing w:val="12"/>
        </w:rPr>
        <w:t>87</w:t>
      </w:r>
      <w:r>
        <w:rPr>
          <w:spacing w:val="12"/>
        </w:rPr>
        <w:t>号关于拨付历年城维费</w:t>
      </w:r>
      <w:r>
        <w:rPr>
          <w:rFonts w:hint="eastAsia"/>
          <w:spacing w:val="12"/>
          <w:lang w:val="en-US" w:eastAsia="zh-CN"/>
        </w:rPr>
        <w:t>项目资金的通知&gt;</w:t>
      </w:r>
      <w:r>
        <w:rPr>
          <w:spacing w:val="12"/>
        </w:rPr>
        <w:t>文件批准</w:t>
      </w:r>
      <w:r>
        <w:rPr>
          <w:rFonts w:hint="eastAsia"/>
          <w:spacing w:val="12"/>
          <w:lang w:eastAsia="zh-CN"/>
        </w:rPr>
        <w:t>，</w:t>
      </w:r>
      <w:r>
        <w:rPr>
          <w:rFonts w:hint="eastAsia" w:ascii="仿宋_GB2312"/>
        </w:rPr>
        <w:t>于2024年年中追加预算批复项目</w:t>
      </w:r>
      <w:r>
        <w:rPr>
          <w:rFonts w:hint="eastAsia" w:ascii="仿宋_GB2312"/>
          <w:lang w:eastAsia="zh-CN"/>
        </w:rPr>
        <w:t>，</w:t>
      </w:r>
      <w:r>
        <w:rPr>
          <w:rFonts w:hint="eastAsia"/>
          <w:spacing w:val="11"/>
          <w:lang w:val="en-US" w:eastAsia="zh-CN"/>
        </w:rPr>
        <w:t>全年预算数282万元，资金到位282万元，资金到位100%，资金来源为上级财政拨款。</w:t>
      </w:r>
    </w:p>
    <w:p w14:paraId="156C1D0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（2）资金使用情况</w:t>
      </w:r>
    </w:p>
    <w:p w14:paraId="439C3EA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该项目年初预算数282万元，全年预算数282万元，全年执行数48.30万元，预算执行率为17.13%。主要用于：清偿历年业务车辆运行相关费用包括：运行车辆耗油料支出，车辆维修费、保险费、购置副油、轮胎、扫刷等。</w:t>
      </w:r>
    </w:p>
    <w:p w14:paraId="1961D9DE">
      <w:pPr>
        <w:widowControl w:val="0"/>
        <w:kinsoku/>
        <w:autoSpaceDE/>
        <w:autoSpaceDN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Times New Roman" w:hAnsi="Times New Roman" w:eastAsia="楷体_GB2312" w:cs="Times New Roman"/>
          <w:b/>
          <w:bCs/>
          <w:snapToGrid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楷体_GB2312" w:cs="Times New Roman"/>
          <w:b/>
          <w:bCs/>
          <w:snapToGrid/>
          <w:kern w:val="2"/>
          <w:sz w:val="32"/>
          <w:szCs w:val="32"/>
          <w:lang w:eastAsia="zh-CN"/>
        </w:rPr>
        <w:t>（二）项目绩效目标</w:t>
      </w:r>
    </w:p>
    <w:p w14:paraId="191F4C1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30" w:firstLineChars="200"/>
        <w:textAlignment w:val="baseline"/>
        <w:rPr>
          <w:b/>
          <w:bCs/>
          <w:spacing w:val="2"/>
        </w:rPr>
      </w:pPr>
      <w:r>
        <w:rPr>
          <w:b/>
          <w:bCs/>
          <w:spacing w:val="2"/>
        </w:rPr>
        <w:t>1.总体目标</w:t>
      </w:r>
    </w:p>
    <w:p w14:paraId="2183E04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我队始终将营造优美的环境卫生作为年度工作的重中之重，做到主要领导亲自抓，分管领导具体抓，业务科室直接抓，及时组织协调解决问题，密切跟进项目落实情况，确保项目有组织，有计划，有步骤的推进。进一步提升全区洒水降尘、生活垃圾的清运，道路机械化清扫，冬季冰雪清除工作力度。该项目资金用于支付本单位历年拖欠企业账款：车辆维修费；车辆保险；副油和轮胎支出；以及单位业务运行支出。保障了全区洒水降尘、生活垃圾的清运，道路机械化清扫，冬季冰雪清除工作。</w:t>
      </w:r>
    </w:p>
    <w:p w14:paraId="3B4056A3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left="679"/>
        <w:textAlignment w:val="baseline"/>
        <w:rPr>
          <w:b/>
          <w:bCs/>
          <w:spacing w:val="2"/>
        </w:rPr>
      </w:pPr>
      <w:r>
        <w:rPr>
          <w:b/>
          <w:bCs/>
          <w:spacing w:val="2"/>
        </w:rPr>
        <w:t>阶段性目标</w:t>
      </w:r>
    </w:p>
    <w:p w14:paraId="4F24A6E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①问题梳理与数据核查阶段：1-2月，明确欠款规模、责任主体及历史原因，完成所有历年业务车辆运行欠款台账整理工作，包括供应商清单、欠款金额、拖欠时长；核实欠款的合同依据、维修记录以及验收凭证，识别争议款项，制定分类解决方案；</w:t>
      </w:r>
    </w:p>
    <w:p w14:paraId="09E6599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64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②资金筹措与优先级排序：2-4月，落实还款资金来源，制定清偿计划，本项目根据上级下达资金文件，落实化解历年城维费清欠事项；</w:t>
      </w:r>
    </w:p>
    <w:p w14:paraId="09F2283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64"/>
        <w:jc w:val="both"/>
        <w:textAlignment w:val="baseline"/>
        <w:rPr>
          <w:rFonts w:hint="default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③完成清欠款项支付，建立供应商沟通机制，避免因欠款影响后续维修服务。</w:t>
      </w:r>
    </w:p>
    <w:p w14:paraId="67F69A4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" w:line="560" w:lineRule="exact"/>
        <w:ind w:left="672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二、绩效评价工作开展情况</w:t>
      </w:r>
    </w:p>
    <w:p w14:paraId="7B6B4746">
      <w:pPr>
        <w:spacing w:before="180" w:line="221" w:lineRule="auto"/>
        <w:ind w:left="659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b/>
          <w:bCs/>
          <w:spacing w:val="7"/>
          <w:sz w:val="31"/>
          <w:szCs w:val="31"/>
        </w:rPr>
        <w:t>（一）绩效评价目的、对象和范围</w:t>
      </w:r>
    </w:p>
    <w:p w14:paraId="66AAF51C">
      <w:pPr>
        <w:pStyle w:val="2"/>
        <w:spacing w:before="188" w:line="222" w:lineRule="auto"/>
        <w:ind w:left="687"/>
      </w:pPr>
      <w:r>
        <w:rPr>
          <w:b/>
          <w:bCs/>
          <w:spacing w:val="2"/>
        </w:rPr>
        <w:t>1.绩效评价的目的</w:t>
      </w:r>
    </w:p>
    <w:p w14:paraId="7701905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</w:p>
    <w:p w14:paraId="2544F87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（1）项目在实施前向项目负责人提供财政支出绩效方面的资金管理信息，促进项目支出严格按照资金管理规定进行。</w:t>
      </w:r>
    </w:p>
    <w:p w14:paraId="6A4D9D1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（2）项目绩效管理财政支出运行提供及时、有效的信息。</w:t>
      </w:r>
    </w:p>
    <w:p w14:paraId="77685D7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b/>
          <w:bCs/>
          <w:spacing w:val="3"/>
        </w:rPr>
      </w:pPr>
      <w:r>
        <w:rPr>
          <w:rFonts w:hint="eastAsia"/>
          <w:spacing w:val="11"/>
          <w:lang w:val="en-US" w:eastAsia="zh-CN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</w:p>
    <w:p w14:paraId="0004BD4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60" w:lineRule="exact"/>
        <w:textAlignment w:val="baseline"/>
        <w:rPr>
          <w:b/>
          <w:bCs/>
          <w:spacing w:val="3"/>
        </w:rPr>
      </w:pPr>
    </w:p>
    <w:p w14:paraId="5B0D5FE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left="692"/>
        <w:textAlignment w:val="baseline"/>
        <w:rPr>
          <w:rFonts w:hint="eastAsia"/>
          <w:b/>
          <w:bCs/>
          <w:spacing w:val="2"/>
          <w:lang w:val="en-US" w:eastAsia="zh-CN"/>
        </w:rPr>
      </w:pPr>
      <w:r>
        <w:rPr>
          <w:b/>
          <w:bCs/>
          <w:spacing w:val="2"/>
        </w:rPr>
        <w:t>2.绩效评价的对象</w:t>
      </w:r>
    </w:p>
    <w:p w14:paraId="311EA0A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乌财建〔2024〕87号关于拨付历年城维费项目所包含的全部项目内容。</w:t>
      </w:r>
    </w:p>
    <w:p w14:paraId="0DF0251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left="692"/>
        <w:textAlignment w:val="baseline"/>
      </w:pPr>
      <w:r>
        <w:rPr>
          <w:b/>
          <w:bCs/>
          <w:spacing w:val="2"/>
        </w:rPr>
        <w:t>3.绩效评价的范围</w:t>
      </w:r>
    </w:p>
    <w:p w14:paraId="2BE23979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本次评价从项目决策（包括绩效目标、决策过程）、项目管理（包括项目资金、项目实施）、项目产出（包括项目产出数量、产出质量、产出时效和产出成本）项目效益四个维度对乌财建〔2024〕87号关于拨付历年城维费进行评价，评价核心为专项资金的支出完成情况和效果。</w:t>
      </w:r>
    </w:p>
    <w:p w14:paraId="2E5C8E3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" w:line="560" w:lineRule="exact"/>
        <w:ind w:left="19" w:right="280" w:firstLine="640"/>
        <w:textAlignment w:val="baseline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b/>
          <w:bCs/>
          <w:spacing w:val="8"/>
          <w:sz w:val="31"/>
          <w:szCs w:val="31"/>
        </w:rPr>
        <w:t>（二）绩效评价原则、评价指标体系（详情见附件</w:t>
      </w:r>
      <w:r>
        <w:rPr>
          <w:rFonts w:ascii="Times New Roman" w:hAnsi="Times New Roman" w:eastAsia="Times New Roman" w:cs="Times New Roman"/>
          <w:b/>
          <w:bCs/>
          <w:spacing w:val="8"/>
          <w:sz w:val="31"/>
          <w:szCs w:val="31"/>
        </w:rPr>
        <w:t>2</w:t>
      </w:r>
      <w:r>
        <w:rPr>
          <w:rFonts w:ascii="KaiTi_GB2312" w:hAnsi="KaiTi_GB2312" w:eastAsia="KaiTi_GB2312" w:cs="KaiTi_GB2312"/>
          <w:b/>
          <w:bCs/>
          <w:spacing w:val="8"/>
          <w:sz w:val="31"/>
          <w:szCs w:val="31"/>
        </w:rPr>
        <w:t>）、</w:t>
      </w:r>
      <w:r>
        <w:rPr>
          <w:rFonts w:ascii="KaiTi_GB2312" w:hAnsi="KaiTi_GB2312" w:eastAsia="KaiTi_GB2312" w:cs="KaiTi_GB2312"/>
          <w:b/>
          <w:bCs/>
          <w:spacing w:val="7"/>
          <w:sz w:val="31"/>
          <w:szCs w:val="31"/>
        </w:rPr>
        <w:t>评价方法、评价标准</w:t>
      </w:r>
    </w:p>
    <w:p w14:paraId="3FEB407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60" w:lineRule="exact"/>
        <w:ind w:left="687"/>
        <w:textAlignment w:val="baseline"/>
      </w:pPr>
      <w:r>
        <w:rPr>
          <w:b/>
          <w:bCs/>
          <w:spacing w:val="2"/>
        </w:rPr>
        <w:t>1.绩效评价原则</w:t>
      </w:r>
    </w:p>
    <w:p w14:paraId="30B6B87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本次项目绩效评价遵循以下基本原则：</w:t>
      </w:r>
    </w:p>
    <w:p w14:paraId="175C086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（1）科学公正。绩效评价应当运用科学合理的方法，按照规范的程序，对项目绩效进行客观、公正的反映。</w:t>
      </w:r>
    </w:p>
    <w:p w14:paraId="528503C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6A9B640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0FDE9E5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（4）公开透明。绩效评价结果应依法依规公开，并自觉接受社会监督。</w:t>
      </w:r>
    </w:p>
    <w:p w14:paraId="36DCF89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6" w:firstLineChars="200"/>
        <w:jc w:val="both"/>
        <w:textAlignment w:val="baseline"/>
        <w:rPr>
          <w:rFonts w:hint="eastAsia"/>
          <w:b/>
          <w:bCs/>
          <w:spacing w:val="11"/>
          <w:lang w:val="en-US" w:eastAsia="zh-CN"/>
        </w:rPr>
      </w:pPr>
      <w:r>
        <w:rPr>
          <w:rFonts w:hint="eastAsia"/>
          <w:b/>
          <w:bCs/>
          <w:spacing w:val="11"/>
          <w:lang w:val="en-US" w:eastAsia="zh-CN"/>
        </w:rPr>
        <w:t>2.评价指标体系</w:t>
      </w:r>
    </w:p>
    <w:p w14:paraId="177C6BC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6492CEC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（1）确定评价指标</w:t>
      </w:r>
    </w:p>
    <w:p w14:paraId="213981C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6A39508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（2）确定权重</w:t>
      </w:r>
    </w:p>
    <w:p w14:paraId="2D4AC1D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5247EB4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（3）确定指标标准值</w:t>
      </w:r>
    </w:p>
    <w:p w14:paraId="457D71D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14D0656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绩效评价总分值100分，根据综合评分结果，评价计分90分-100分（含90分）对应的评分结果级别为优，</w:t>
      </w:r>
    </w:p>
    <w:p w14:paraId="5DA7709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80-90分（含80分）对应的评分结果级别为良，60-80分（含60分）对应的评分结果级别为中，60分以下对应的评分结果级别为差。</w:t>
      </w:r>
    </w:p>
    <w:p w14:paraId="14FC96D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具体评价指标体系详情见附件2。</w:t>
      </w:r>
    </w:p>
    <w:p w14:paraId="773FA0E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6" w:firstLineChars="200"/>
        <w:jc w:val="both"/>
        <w:textAlignment w:val="baseline"/>
        <w:rPr>
          <w:rFonts w:hint="eastAsia"/>
          <w:b/>
          <w:bCs/>
          <w:spacing w:val="11"/>
          <w:lang w:val="en-US" w:eastAsia="zh-CN"/>
        </w:rPr>
      </w:pPr>
      <w:r>
        <w:rPr>
          <w:rFonts w:hint="eastAsia"/>
          <w:b/>
          <w:bCs/>
          <w:spacing w:val="11"/>
          <w:lang w:val="en-US" w:eastAsia="zh-CN"/>
        </w:rPr>
        <w:t>3.绩效评价方法</w:t>
      </w:r>
    </w:p>
    <w:p w14:paraId="4C8250C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绩效评价从项目决策、项目过程、项目产出、项目效益四个维度进行评价。评价对象为项目目标实施情况，评价核心为资金的支出完成情况和项目的产出效益。</w:t>
      </w:r>
    </w:p>
    <w:p w14:paraId="17F60B5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00A9F79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（1）比较法</w:t>
      </w:r>
    </w:p>
    <w:p w14:paraId="434AF13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通过对绩效目标与实施效果、历史与当期情况，综合分析绩效目标实现程度。对项目最终验收情况与年度绩效目标对比、预算资金执行情况等相关因素进行比较。</w:t>
      </w:r>
    </w:p>
    <w:p w14:paraId="42A6D4E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（2）因素分析法</w:t>
      </w:r>
    </w:p>
    <w:p w14:paraId="33C487D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</w:p>
    <w:p w14:paraId="1CBA87F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60" w:lineRule="exact"/>
        <w:ind w:left="678"/>
        <w:textAlignment w:val="baseline"/>
      </w:pPr>
      <w:r>
        <w:rPr>
          <w:b/>
          <w:bCs/>
          <w:spacing w:val="2"/>
        </w:rPr>
        <w:t>4.评价标准</w:t>
      </w:r>
    </w:p>
    <w:p w14:paraId="02A468E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绩效评价标准通常包括计划标准、行业标准、历史标准等，用于对绩效指标完成情况进行比较、分析、评价。本次评价主要采用了历史标准。</w:t>
      </w:r>
    </w:p>
    <w:p w14:paraId="5021CD7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560" w:lineRule="exact"/>
        <w:ind w:left="57" w:firstLine="621"/>
        <w:textAlignment w:val="baseline"/>
        <w:rPr>
          <w:rFonts w:hint="eastAsia" w:ascii="FangSong_GB2312" w:hAnsi="FangSong_GB2312" w:eastAsia="FangSong_GB2312" w:cs="FangSong_GB2312"/>
          <w:snapToGrid w:val="0"/>
          <w:color w:val="000000"/>
          <w:spacing w:val="11"/>
          <w:kern w:val="0"/>
          <w:sz w:val="31"/>
          <w:szCs w:val="31"/>
          <w:lang w:val="en-US" w:eastAsia="zh-CN" w:bidi="ar-SA"/>
        </w:rPr>
      </w:pPr>
      <w:r>
        <w:rPr>
          <w:rFonts w:ascii="仿宋" w:hAnsi="仿宋" w:eastAsia="仿宋" w:cs="仿宋"/>
          <w:b/>
          <w:bCs/>
          <w:spacing w:val="4"/>
          <w:sz w:val="31"/>
          <w:szCs w:val="31"/>
        </w:rPr>
        <w:t>历史标准：</w:t>
      </w:r>
      <w:r>
        <w:rPr>
          <w:rFonts w:hint="eastAsia" w:ascii="FangSong_GB2312" w:hAnsi="FangSong_GB2312" w:eastAsia="FangSong_GB2312" w:cs="FangSong_GB2312"/>
          <w:snapToGrid w:val="0"/>
          <w:color w:val="000000"/>
          <w:spacing w:val="11"/>
          <w:kern w:val="0"/>
          <w:sz w:val="31"/>
          <w:szCs w:val="31"/>
          <w:lang w:val="en-US" w:eastAsia="zh-CN" w:bidi="ar-SA"/>
        </w:rPr>
        <w:t>指参照历史数据制定的评价标准，为体现绩效改进的原则，在可实现的条件下应当确定相对较高的评价标准。</w:t>
      </w:r>
    </w:p>
    <w:p w14:paraId="28B965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5" w:line="560" w:lineRule="exact"/>
        <w:ind w:left="760"/>
        <w:textAlignment w:val="baseline"/>
        <w:outlineLvl w:val="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26"/>
          <w:sz w:val="31"/>
          <w:szCs w:val="31"/>
        </w:rPr>
        <w:t>（三）绩效评价工作过程</w:t>
      </w:r>
    </w:p>
    <w:p w14:paraId="486A5E2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6" w:firstLineChars="200"/>
        <w:jc w:val="both"/>
        <w:textAlignment w:val="baseline"/>
        <w:rPr>
          <w:rFonts w:hint="eastAsia"/>
          <w:b/>
          <w:bCs/>
          <w:spacing w:val="11"/>
          <w:lang w:val="en-US" w:eastAsia="zh-CN"/>
        </w:rPr>
      </w:pPr>
      <w:r>
        <w:rPr>
          <w:rFonts w:hint="eastAsia"/>
          <w:b/>
          <w:bCs/>
          <w:spacing w:val="11"/>
          <w:lang w:val="en-US" w:eastAsia="zh-CN"/>
        </w:rPr>
        <w:t>1.前期准备。</w:t>
      </w:r>
      <w:r>
        <w:rPr>
          <w:rFonts w:hint="eastAsia"/>
          <w:b w:val="0"/>
          <w:bCs w:val="0"/>
          <w:spacing w:val="11"/>
          <w:lang w:val="en-US" w:eastAsia="zh-CN"/>
        </w:rPr>
        <w:t>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</w:p>
    <w:p w14:paraId="5AFB628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6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b/>
          <w:bCs/>
          <w:spacing w:val="11"/>
          <w:lang w:val="en-US" w:eastAsia="zh-CN"/>
        </w:rPr>
        <w:t>2.组织实施。</w:t>
      </w:r>
      <w:r>
        <w:rPr>
          <w:rFonts w:hint="eastAsia"/>
          <w:spacing w:val="11"/>
          <w:lang w:val="en-US" w:eastAsia="zh-CN"/>
        </w:rPr>
        <w:t>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</w:p>
    <w:p w14:paraId="2486FB4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6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b/>
          <w:bCs/>
          <w:spacing w:val="11"/>
          <w:lang w:val="en-US" w:eastAsia="zh-CN"/>
        </w:rPr>
        <w:t>3.分析评价。</w:t>
      </w:r>
      <w:r>
        <w:rPr>
          <w:rFonts w:hint="eastAsia"/>
          <w:spacing w:val="11"/>
          <w:lang w:val="en-US" w:eastAsia="zh-CN"/>
        </w:rPr>
        <w:t>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2066FB6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0" w:line="560" w:lineRule="exact"/>
        <w:ind w:left="673"/>
        <w:textAlignment w:val="baseline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三、综合评价情况及评价结论（附相关评分表）</w:t>
      </w:r>
    </w:p>
    <w:p w14:paraId="519B406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6" w:firstLineChars="200"/>
        <w:jc w:val="both"/>
        <w:textAlignment w:val="baseline"/>
        <w:rPr>
          <w:rFonts w:hint="eastAsia"/>
          <w:b/>
          <w:bCs/>
          <w:spacing w:val="11"/>
          <w:lang w:val="en-US" w:eastAsia="zh-CN"/>
        </w:rPr>
      </w:pPr>
      <w:r>
        <w:rPr>
          <w:rFonts w:hint="eastAsia"/>
          <w:b/>
          <w:bCs/>
          <w:spacing w:val="11"/>
          <w:lang w:val="en-US" w:eastAsia="zh-CN"/>
        </w:rPr>
        <w:t>（一）评价情况</w:t>
      </w:r>
    </w:p>
    <w:p w14:paraId="22B877B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b w:val="0"/>
          <w:bCs w:val="0"/>
          <w:spacing w:val="11"/>
          <w:lang w:val="en-US" w:eastAsia="zh-CN"/>
        </w:rPr>
      </w:pPr>
      <w:r>
        <w:rPr>
          <w:rFonts w:hint="eastAsia"/>
          <w:b w:val="0"/>
          <w:bCs w:val="0"/>
          <w:spacing w:val="11"/>
          <w:lang w:val="en-US" w:eastAsia="zh-CN"/>
        </w:rPr>
        <w:t>项目总体组织规范，在项目实施过程做到认真履职，监督到位。按照相关制度的要求，项目负责人对项目绩效监控执行</w:t>
      </w:r>
    </w:p>
    <w:p w14:paraId="1124ADF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b w:val="0"/>
          <w:bCs w:val="0"/>
          <w:spacing w:val="11"/>
          <w:lang w:val="en-US" w:eastAsia="zh-CN"/>
        </w:rPr>
      </w:pPr>
      <w:r>
        <w:rPr>
          <w:rFonts w:hint="eastAsia"/>
          <w:b w:val="0"/>
          <w:bCs w:val="0"/>
          <w:spacing w:val="11"/>
          <w:lang w:val="en-US" w:eastAsia="zh-CN"/>
        </w:rPr>
        <w:t>情况进行跟踪监督，有效完成了本项目的工作目标，确保资金使用安全和最大效益的发挥，保障项目如期按要求完成。规范了项目档案资料的整理。项目的实施达到项目预期效果。</w:t>
      </w:r>
    </w:p>
    <w:p w14:paraId="72C3C00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6" w:firstLineChars="200"/>
        <w:jc w:val="both"/>
        <w:textAlignment w:val="baseline"/>
        <w:rPr>
          <w:rFonts w:hint="eastAsia"/>
          <w:b/>
          <w:bCs/>
          <w:spacing w:val="11"/>
          <w:lang w:val="en-US" w:eastAsia="zh-CN"/>
        </w:rPr>
      </w:pPr>
      <w:r>
        <w:rPr>
          <w:rFonts w:hint="eastAsia"/>
          <w:b/>
          <w:bCs/>
          <w:spacing w:val="11"/>
          <w:lang w:val="en-US" w:eastAsia="zh-CN"/>
        </w:rPr>
        <w:t>（二）评价结论</w:t>
      </w:r>
    </w:p>
    <w:p w14:paraId="29546E3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b w:val="0"/>
          <w:bCs w:val="0"/>
          <w:spacing w:val="11"/>
          <w:lang w:val="en-US" w:eastAsia="zh-CN"/>
        </w:rPr>
      </w:pPr>
      <w:r>
        <w:rPr>
          <w:rFonts w:hint="eastAsia"/>
          <w:b w:val="0"/>
          <w:bCs w:val="0"/>
          <w:spacing w:val="11"/>
          <w:lang w:val="en-US" w:eastAsia="zh-CN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83.77分，属于“良”。其中，项目决策类指标权重为20分，得分为20分，得分率为100%。项目过程类指标权重为20分，得分为16.7分，得分率为83.5%。项目产出类指标权重为40分，得分为27.07分，得分率为67.68%。项目效益类指标权重为20分，得分为20分，得分率为100%。具体打分情况详见：表1.综合评分表。</w:t>
      </w:r>
    </w:p>
    <w:p w14:paraId="73C4BAAC">
      <w:pPr>
        <w:pStyle w:val="2"/>
        <w:spacing w:before="1" w:line="216" w:lineRule="auto"/>
        <w:ind w:left="3244"/>
        <w:outlineLvl w:val="0"/>
        <w:rPr>
          <w:b/>
          <w:bCs/>
          <w:spacing w:val="-6"/>
          <w:sz w:val="30"/>
          <w:szCs w:val="30"/>
        </w:rPr>
      </w:pPr>
    </w:p>
    <w:p w14:paraId="230269F2">
      <w:pPr>
        <w:pStyle w:val="2"/>
        <w:spacing w:before="1" w:line="216" w:lineRule="auto"/>
        <w:ind w:left="3244"/>
        <w:outlineLvl w:val="0"/>
        <w:rPr>
          <w:b/>
          <w:bCs/>
          <w:spacing w:val="-6"/>
          <w:sz w:val="30"/>
          <w:szCs w:val="30"/>
        </w:rPr>
      </w:pPr>
    </w:p>
    <w:p w14:paraId="51BE6DA0">
      <w:pPr>
        <w:pStyle w:val="2"/>
        <w:spacing w:before="1" w:line="216" w:lineRule="auto"/>
        <w:ind w:left="3244"/>
        <w:outlineLvl w:val="0"/>
        <w:rPr>
          <w:b/>
          <w:bCs/>
          <w:spacing w:val="-6"/>
          <w:sz w:val="30"/>
          <w:szCs w:val="30"/>
        </w:rPr>
      </w:pPr>
    </w:p>
    <w:p w14:paraId="5D58E08A">
      <w:pPr>
        <w:pStyle w:val="2"/>
        <w:spacing w:before="1" w:line="216" w:lineRule="auto"/>
        <w:ind w:left="3244"/>
        <w:outlineLvl w:val="0"/>
        <w:rPr>
          <w:b/>
          <w:bCs/>
          <w:spacing w:val="-6"/>
          <w:sz w:val="30"/>
          <w:szCs w:val="30"/>
        </w:rPr>
      </w:pPr>
    </w:p>
    <w:p w14:paraId="52DBDE44">
      <w:pPr>
        <w:pStyle w:val="2"/>
        <w:spacing w:before="1" w:line="216" w:lineRule="auto"/>
        <w:ind w:left="3244"/>
        <w:outlineLvl w:val="0"/>
        <w:rPr>
          <w:b/>
          <w:bCs/>
          <w:spacing w:val="-6"/>
          <w:sz w:val="30"/>
          <w:szCs w:val="30"/>
        </w:rPr>
      </w:pPr>
    </w:p>
    <w:p w14:paraId="7C558DD9">
      <w:pPr>
        <w:pStyle w:val="2"/>
        <w:spacing w:before="1" w:line="216" w:lineRule="auto"/>
        <w:ind w:left="3244"/>
        <w:outlineLvl w:val="0"/>
        <w:rPr>
          <w:b/>
          <w:bCs/>
          <w:spacing w:val="-6"/>
          <w:sz w:val="30"/>
          <w:szCs w:val="30"/>
        </w:rPr>
      </w:pPr>
    </w:p>
    <w:p w14:paraId="6873089A">
      <w:pPr>
        <w:pStyle w:val="2"/>
        <w:spacing w:before="1" w:line="216" w:lineRule="auto"/>
        <w:ind w:left="3244"/>
        <w:outlineLvl w:val="0"/>
        <w:rPr>
          <w:sz w:val="30"/>
          <w:szCs w:val="30"/>
        </w:rPr>
      </w:pPr>
      <w:r>
        <w:rPr>
          <w:b/>
          <w:bCs/>
          <w:spacing w:val="-6"/>
          <w:sz w:val="30"/>
          <w:szCs w:val="30"/>
        </w:rPr>
        <w:t>表</w:t>
      </w:r>
      <w:r>
        <w:rPr>
          <w:rFonts w:ascii="Times New Roman" w:hAnsi="Times New Roman" w:eastAsia="Times New Roman" w:cs="Times New Roman"/>
          <w:b/>
          <w:bCs/>
          <w:spacing w:val="-6"/>
          <w:sz w:val="30"/>
          <w:szCs w:val="30"/>
        </w:rPr>
        <w:t>1.</w:t>
      </w:r>
      <w:r>
        <w:rPr>
          <w:b/>
          <w:bCs/>
          <w:spacing w:val="-6"/>
          <w:sz w:val="30"/>
          <w:szCs w:val="30"/>
        </w:rPr>
        <w:t>综合评分表</w:t>
      </w:r>
    </w:p>
    <w:p w14:paraId="0966B696">
      <w:pPr>
        <w:spacing w:line="108" w:lineRule="exact"/>
      </w:pPr>
    </w:p>
    <w:tbl>
      <w:tblPr>
        <w:tblStyle w:val="6"/>
        <w:tblW w:w="7587" w:type="dxa"/>
        <w:tblInd w:w="493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40"/>
        <w:gridCol w:w="2166"/>
        <w:gridCol w:w="2281"/>
      </w:tblGrid>
      <w:tr w14:paraId="275AB91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3140" w:type="dxa"/>
            <w:shd w:val="clear" w:color="auto" w:fill="BEBEBE"/>
            <w:vAlign w:val="top"/>
          </w:tcPr>
          <w:p w14:paraId="6E92B1C1">
            <w:pPr>
              <w:spacing w:before="51" w:line="218" w:lineRule="auto"/>
              <w:ind w:left="113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2"/>
                <w:szCs w:val="22"/>
              </w:rPr>
              <w:t>一级指标</w:t>
            </w:r>
          </w:p>
        </w:tc>
        <w:tc>
          <w:tcPr>
            <w:tcW w:w="2166" w:type="dxa"/>
            <w:shd w:val="clear" w:color="auto" w:fill="BEBEBE"/>
            <w:vAlign w:val="top"/>
          </w:tcPr>
          <w:p w14:paraId="63ED4F49">
            <w:pPr>
              <w:spacing w:before="51" w:line="218" w:lineRule="auto"/>
              <w:ind w:left="755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5"/>
                <w:sz w:val="22"/>
                <w:szCs w:val="22"/>
              </w:rPr>
              <w:t>权重分</w:t>
            </w:r>
          </w:p>
        </w:tc>
        <w:tc>
          <w:tcPr>
            <w:tcW w:w="2281" w:type="dxa"/>
            <w:shd w:val="clear" w:color="auto" w:fill="BEBEBE"/>
            <w:vAlign w:val="top"/>
          </w:tcPr>
          <w:p w14:paraId="5887DFAD">
            <w:pPr>
              <w:spacing w:before="51" w:line="218" w:lineRule="auto"/>
              <w:ind w:left="92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2"/>
                <w:szCs w:val="22"/>
              </w:rPr>
              <w:t>得分</w:t>
            </w:r>
          </w:p>
        </w:tc>
      </w:tr>
      <w:tr w14:paraId="4D0ED6E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140" w:type="dxa"/>
            <w:vAlign w:val="top"/>
          </w:tcPr>
          <w:p w14:paraId="23F94D25">
            <w:pPr>
              <w:spacing w:before="61" w:line="220" w:lineRule="auto"/>
              <w:ind w:left="11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项目决策</w:t>
            </w:r>
          </w:p>
        </w:tc>
        <w:tc>
          <w:tcPr>
            <w:tcW w:w="2166" w:type="dxa"/>
            <w:vAlign w:val="top"/>
          </w:tcPr>
          <w:p w14:paraId="6A0C98F3">
            <w:pPr>
              <w:spacing w:before="96" w:line="189" w:lineRule="auto"/>
              <w:ind w:left="9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20</w:t>
            </w:r>
          </w:p>
        </w:tc>
        <w:tc>
          <w:tcPr>
            <w:tcW w:w="2281" w:type="dxa"/>
            <w:vAlign w:val="top"/>
          </w:tcPr>
          <w:p w14:paraId="4BE274CB">
            <w:pPr>
              <w:spacing w:before="96" w:line="189" w:lineRule="auto"/>
              <w:ind w:left="103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20</w:t>
            </w:r>
          </w:p>
        </w:tc>
      </w:tr>
      <w:tr w14:paraId="362276C7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140" w:type="dxa"/>
            <w:vAlign w:val="top"/>
          </w:tcPr>
          <w:p w14:paraId="01D6EC24">
            <w:pPr>
              <w:spacing w:before="62" w:line="221" w:lineRule="auto"/>
              <w:ind w:left="11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项目过程</w:t>
            </w:r>
          </w:p>
        </w:tc>
        <w:tc>
          <w:tcPr>
            <w:tcW w:w="2166" w:type="dxa"/>
            <w:vAlign w:val="top"/>
          </w:tcPr>
          <w:p w14:paraId="0FA4C65A">
            <w:pPr>
              <w:spacing w:before="98" w:line="189" w:lineRule="auto"/>
              <w:ind w:left="9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20</w:t>
            </w:r>
          </w:p>
        </w:tc>
        <w:tc>
          <w:tcPr>
            <w:tcW w:w="2281" w:type="dxa"/>
            <w:vAlign w:val="top"/>
          </w:tcPr>
          <w:p w14:paraId="7F314463">
            <w:pPr>
              <w:spacing w:before="98" w:line="189" w:lineRule="auto"/>
              <w:ind w:left="96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22"/>
                <w:szCs w:val="22"/>
              </w:rPr>
              <w:t>16.7</w:t>
            </w:r>
          </w:p>
        </w:tc>
      </w:tr>
      <w:tr w14:paraId="7F0D307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140" w:type="dxa"/>
            <w:vAlign w:val="top"/>
          </w:tcPr>
          <w:p w14:paraId="1E1036C5">
            <w:pPr>
              <w:spacing w:before="63" w:line="220" w:lineRule="auto"/>
              <w:ind w:left="11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项目产出</w:t>
            </w:r>
          </w:p>
        </w:tc>
        <w:tc>
          <w:tcPr>
            <w:tcW w:w="2166" w:type="dxa"/>
            <w:vAlign w:val="top"/>
          </w:tcPr>
          <w:p w14:paraId="0A8CC9AD">
            <w:pPr>
              <w:spacing w:before="99" w:line="189" w:lineRule="auto"/>
              <w:ind w:left="974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40</w:t>
            </w:r>
          </w:p>
        </w:tc>
        <w:tc>
          <w:tcPr>
            <w:tcW w:w="2281" w:type="dxa"/>
            <w:vAlign w:val="top"/>
          </w:tcPr>
          <w:p w14:paraId="29B99E92">
            <w:pPr>
              <w:spacing w:before="99" w:line="189" w:lineRule="auto"/>
              <w:ind w:left="893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>27.07</w:t>
            </w:r>
          </w:p>
        </w:tc>
      </w:tr>
      <w:tr w14:paraId="1C6C6C3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3140" w:type="dxa"/>
            <w:vAlign w:val="top"/>
          </w:tcPr>
          <w:p w14:paraId="307692CA">
            <w:pPr>
              <w:spacing w:before="65" w:line="221" w:lineRule="auto"/>
              <w:ind w:left="114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3"/>
                <w:sz w:val="22"/>
                <w:szCs w:val="22"/>
              </w:rPr>
              <w:t>项目效益</w:t>
            </w:r>
          </w:p>
        </w:tc>
        <w:tc>
          <w:tcPr>
            <w:tcW w:w="2166" w:type="dxa"/>
            <w:vAlign w:val="top"/>
          </w:tcPr>
          <w:p w14:paraId="096EE39C">
            <w:pPr>
              <w:spacing w:before="100" w:line="189" w:lineRule="auto"/>
              <w:ind w:left="97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20</w:t>
            </w:r>
          </w:p>
        </w:tc>
        <w:tc>
          <w:tcPr>
            <w:tcW w:w="2281" w:type="dxa"/>
            <w:vAlign w:val="top"/>
          </w:tcPr>
          <w:p w14:paraId="2512A39D">
            <w:pPr>
              <w:spacing w:before="100" w:line="189" w:lineRule="auto"/>
              <w:ind w:left="1032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>20</w:t>
            </w:r>
          </w:p>
        </w:tc>
      </w:tr>
      <w:tr w14:paraId="6D39F0C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3140" w:type="dxa"/>
            <w:vAlign w:val="top"/>
          </w:tcPr>
          <w:p w14:paraId="2D2C78AA">
            <w:pPr>
              <w:spacing w:before="63" w:line="222" w:lineRule="auto"/>
              <w:ind w:left="1356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spacing w:val="-7"/>
                <w:sz w:val="22"/>
                <w:szCs w:val="22"/>
              </w:rPr>
              <w:t>合计</w:t>
            </w:r>
          </w:p>
        </w:tc>
        <w:tc>
          <w:tcPr>
            <w:tcW w:w="2166" w:type="dxa"/>
            <w:vAlign w:val="top"/>
          </w:tcPr>
          <w:p w14:paraId="63C452B2">
            <w:pPr>
              <w:spacing w:before="102" w:line="189" w:lineRule="auto"/>
              <w:ind w:left="930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5"/>
                <w:sz w:val="22"/>
                <w:szCs w:val="22"/>
              </w:rPr>
              <w:t>100</w:t>
            </w:r>
          </w:p>
        </w:tc>
        <w:tc>
          <w:tcPr>
            <w:tcW w:w="2281" w:type="dxa"/>
            <w:vAlign w:val="top"/>
          </w:tcPr>
          <w:p w14:paraId="55209165">
            <w:pPr>
              <w:spacing w:before="102" w:line="189" w:lineRule="auto"/>
              <w:ind w:left="896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2"/>
                <w:szCs w:val="22"/>
              </w:rPr>
              <w:t>83.77</w:t>
            </w:r>
          </w:p>
        </w:tc>
      </w:tr>
    </w:tbl>
    <w:p w14:paraId="2C7C5791">
      <w:pPr>
        <w:spacing w:before="175" w:line="226" w:lineRule="auto"/>
        <w:ind w:left="68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四、绩效评价指标分析</w:t>
      </w:r>
    </w:p>
    <w:p w14:paraId="6463C933">
      <w:pPr>
        <w:spacing w:before="181" w:line="220" w:lineRule="auto"/>
        <w:ind w:left="659"/>
        <w:outlineLvl w:val="0"/>
        <w:rPr>
          <w:rFonts w:ascii="Arial"/>
          <w:sz w:val="21"/>
        </w:rPr>
      </w:pPr>
      <w:r>
        <w:rPr>
          <w:rFonts w:ascii="KaiTi_GB2312" w:hAnsi="KaiTi_GB2312" w:eastAsia="KaiTi_GB2312" w:cs="KaiTi_GB2312"/>
          <w:b/>
          <w:bCs/>
          <w:spacing w:val="7"/>
          <w:sz w:val="31"/>
          <w:szCs w:val="31"/>
        </w:rPr>
        <w:t>（一）项目决策情况</w:t>
      </w:r>
    </w:p>
    <w:p w14:paraId="60CF858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项目决策类指标包括项目立项、绩效目标和资金投入三方面的内容，由6个三级指标构成，权重分值为20分，实际得分20分，得分率为100%。</w:t>
      </w:r>
    </w:p>
    <w:p w14:paraId="7EFC173F">
      <w:pPr>
        <w:pStyle w:val="2"/>
        <w:spacing w:before="202" w:line="222" w:lineRule="auto"/>
        <w:ind w:left="687"/>
      </w:pPr>
      <w:r>
        <w:rPr>
          <w:b/>
          <w:bCs/>
        </w:rPr>
        <w:t>1.项目立项</w:t>
      </w:r>
    </w:p>
    <w:p w14:paraId="04CFAAE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（1）立项依据充分性</w:t>
      </w:r>
    </w:p>
    <w:p w14:paraId="42C1019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25965BA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（2）立项程序规范性</w:t>
      </w:r>
    </w:p>
    <w:p w14:paraId="5535059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集体决策，保障了程序的规范性。</w:t>
      </w:r>
    </w:p>
    <w:p w14:paraId="4F970F9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6" w:firstLineChars="200"/>
        <w:jc w:val="both"/>
        <w:textAlignment w:val="baseline"/>
        <w:rPr>
          <w:rFonts w:hint="eastAsia"/>
          <w:b/>
          <w:bCs/>
          <w:spacing w:val="11"/>
          <w:lang w:val="en-US" w:eastAsia="zh-CN"/>
        </w:rPr>
      </w:pPr>
      <w:r>
        <w:rPr>
          <w:rFonts w:hint="eastAsia"/>
          <w:b/>
          <w:bCs/>
          <w:spacing w:val="11"/>
          <w:lang w:val="en-US" w:eastAsia="zh-CN"/>
        </w:rPr>
        <w:t>2.绩效目标</w:t>
      </w:r>
    </w:p>
    <w:p w14:paraId="58DBE8B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（1）绩效目标合理性</w:t>
      </w:r>
    </w:p>
    <w:p w14:paraId="75BC7AF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59D3C99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（2）绩效指标明确性</w:t>
      </w:r>
    </w:p>
    <w:p w14:paraId="25618F6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202FB810">
      <w:pPr>
        <w:pStyle w:val="2"/>
        <w:spacing w:before="201" w:line="219" w:lineRule="auto"/>
        <w:ind w:left="692"/>
      </w:pPr>
      <w:r>
        <w:rPr>
          <w:b/>
          <w:bCs/>
          <w:spacing w:val="-1"/>
        </w:rPr>
        <w:t>3.资金投入</w:t>
      </w:r>
    </w:p>
    <w:p w14:paraId="75FDFA0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（1）预算编制科学性</w:t>
      </w:r>
    </w:p>
    <w:p w14:paraId="1864521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预算编制经过科学论证，提供充分的测算依据佐证资料，预算内容与项目内容相匹配。项目投资额与工作任务相匹配。</w:t>
      </w:r>
    </w:p>
    <w:p w14:paraId="3BCFF73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（2）资金分配合理性</w:t>
      </w:r>
    </w:p>
    <w:p w14:paraId="29F97B0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资金分配额度与项目单位实际工作内容相适应，资金分配额度合理，资金分配依据充分。</w:t>
      </w:r>
    </w:p>
    <w:p w14:paraId="31ED4E87">
      <w:pPr>
        <w:spacing w:before="199" w:line="232" w:lineRule="auto"/>
        <w:ind w:left="692"/>
        <w:outlineLvl w:val="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7"/>
          <w:sz w:val="31"/>
          <w:szCs w:val="31"/>
        </w:rPr>
        <w:t>（二）项目过程情况</w:t>
      </w:r>
    </w:p>
    <w:p w14:paraId="74AA794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项目过程类指标包括资金管理和组织实施两方面的内容，由5个三级指标构成，权重分值为20分，实际得分16.7分，得分率为83.5%。</w:t>
      </w:r>
    </w:p>
    <w:p w14:paraId="56DE800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 w14:paraId="07100EC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6" w:firstLineChars="200"/>
        <w:jc w:val="both"/>
        <w:textAlignment w:val="baseline"/>
        <w:rPr>
          <w:rFonts w:hint="eastAsia"/>
          <w:b/>
          <w:bCs/>
          <w:spacing w:val="11"/>
          <w:lang w:val="en-US" w:eastAsia="zh-CN"/>
        </w:rPr>
      </w:pPr>
      <w:r>
        <w:rPr>
          <w:rFonts w:hint="eastAsia"/>
          <w:b/>
          <w:bCs/>
          <w:spacing w:val="11"/>
          <w:lang w:val="en-US" w:eastAsia="zh-CN"/>
        </w:rPr>
        <w:t>1.资金管理</w:t>
      </w:r>
    </w:p>
    <w:p w14:paraId="187BDE1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（1）资金到位率</w:t>
      </w:r>
    </w:p>
    <w:p w14:paraId="31E2548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本项目总投资282万元，财政资金及时足额到位，到位率100%，预算资金按计划进度执行。</w:t>
      </w:r>
    </w:p>
    <w:p w14:paraId="185D0F0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（2）预算执行率</w:t>
      </w:r>
    </w:p>
    <w:p w14:paraId="0C0DB06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预算编制较为详细，项目资金支出总体能够按照预算执行，预算资金支出48.30万元，预算执行率为17.13%。</w:t>
      </w:r>
    </w:p>
    <w:p w14:paraId="2834AFE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（3）资金使用合规性</w:t>
      </w:r>
    </w:p>
    <w:p w14:paraId="017E85A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项目严格按照预期绩效目标执行预算资金。制定了相关的制度和管理规定，对项目经费使用进行规范管理，财务制度健</w:t>
      </w:r>
    </w:p>
    <w:p w14:paraId="6EE958C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</w:p>
    <w:p w14:paraId="409B02A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6" w:firstLineChars="200"/>
        <w:jc w:val="both"/>
        <w:textAlignment w:val="baseline"/>
        <w:rPr>
          <w:rFonts w:hint="eastAsia"/>
          <w:b/>
          <w:bCs/>
          <w:spacing w:val="11"/>
          <w:lang w:val="en-US" w:eastAsia="zh-CN"/>
        </w:rPr>
      </w:pPr>
      <w:r>
        <w:rPr>
          <w:rFonts w:hint="eastAsia"/>
          <w:b/>
          <w:bCs/>
          <w:spacing w:val="11"/>
          <w:lang w:val="en-US" w:eastAsia="zh-CN"/>
        </w:rPr>
        <w:t>2.组织实施</w:t>
      </w:r>
    </w:p>
    <w:p w14:paraId="07AA923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（1）管理制度健全性</w:t>
      </w:r>
    </w:p>
    <w:p w14:paraId="7D0BAA7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制定了相关管理办法，对财政资金进行严格管理，做到专款专用，项目资金使用符合相关的财务管理制度规定，能够反</w:t>
      </w:r>
    </w:p>
    <w:p w14:paraId="2DC2AC7D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映和考核项目资金的规范运行情况；项目实施单位的财务和业务管理制度健全，能够反映和考核财务和业务管理制度对项目顺利实施的保障情况。</w:t>
      </w:r>
    </w:p>
    <w:p w14:paraId="04B9385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（2）制度执行有效性</w:t>
      </w:r>
    </w:p>
    <w:p w14:paraId="68BFE6D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对资金使用的合法合规性进行监督，年末对资金使用效果进行评价。项目管理、实施人员落实到位，有效按照计划执行。</w:t>
      </w:r>
    </w:p>
    <w:p w14:paraId="6E31088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项目执行情况等资料齐全，项目相关手续完备，及时进行归档。</w:t>
      </w:r>
    </w:p>
    <w:p w14:paraId="5759CE5F">
      <w:pPr>
        <w:spacing w:before="200" w:line="220" w:lineRule="auto"/>
        <w:ind w:left="659"/>
        <w:rPr>
          <w:rFonts w:ascii="KaiTi_GB2312" w:hAnsi="KaiTi_GB2312" w:eastAsia="KaiTi_GB2312" w:cs="KaiTi_GB2312"/>
          <w:sz w:val="31"/>
          <w:szCs w:val="31"/>
        </w:rPr>
      </w:pPr>
      <w:r>
        <w:rPr>
          <w:rFonts w:ascii="KaiTi_GB2312" w:hAnsi="KaiTi_GB2312" w:eastAsia="KaiTi_GB2312" w:cs="KaiTi_GB2312"/>
          <w:b/>
          <w:bCs/>
          <w:spacing w:val="7"/>
          <w:sz w:val="31"/>
          <w:szCs w:val="31"/>
        </w:rPr>
        <w:t>（三）项目产出情况</w:t>
      </w:r>
    </w:p>
    <w:p w14:paraId="42DCCBC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项目产出类指标包括产出数量、产出质量、产出时效、产出成本四方面的内容，由5个三级指标构成，权重分为40分，实际得分27.07分，得分率为67.68%。具体产出指标完成情况如下：</w:t>
      </w:r>
    </w:p>
    <w:p w14:paraId="548F120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①数量指标：</w:t>
      </w:r>
    </w:p>
    <w:p w14:paraId="4F26D44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指标1：垃圾运输车数（辆），指标值：小于等于420辆，实际完成值：162辆，指标完成率38.57%，指标成效分析：自开展物业城市市场化以来，清运队保有162辆环卫作业车辆，包括大型吊臂式垃圾车、T型压缩垃圾车，压缩垃圾车，桶装垃圾运输车，车厢可卸式垃圾车，餐厨垃圾车，压缩垃圾车，无泄漏垃圾车，8吨餐厨垃圾车，3吨压缩垃圾车，日常开展生活垃圾清运、夏季道路清扫、洒水降尘、冬季冰雪清除、餐厨垃圾收集、重点垃圾清运及临时应急工作任务。偏差原因：业务车辆部分待盘活出借，监管车辆全部上缴上级部门。改进措施：今后根据项目实际情况，及时调整绩效目标，进一步提高绩效目标设置的精准性。</w:t>
      </w:r>
    </w:p>
    <w:p w14:paraId="4CDF9AD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②质量指标：</w:t>
      </w:r>
    </w:p>
    <w:p w14:paraId="61A97F3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default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指标1：区域覆盖率，指标值：大于等于95%。实际完成值：95%，指标完成率100%。指标成效分析：辖区内道路机扫面积共计415.7万平方米，覆盖机扫面积395万平方米，覆盖率为95%，按照清扫计划频次，实施标准化作业，确保清运工作高效、规范，保障辖区内市容环境整洁。</w:t>
      </w:r>
    </w:p>
    <w:p w14:paraId="3527A27E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③经济成本指标：</w:t>
      </w:r>
    </w:p>
    <w:p w14:paraId="7E25903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指标1：单车耗油运维成本，指标值：小于等于0.17万元，实际完成值：0万元，指标完成率0%。偏差原因：业务移交，监管车辆全部上缴上级部门，故无耗油成本。改进措施：今后根据项目实际情况，及时删减绩效目标，进一步提高绩效目标设置的精准性。</w:t>
      </w:r>
    </w:p>
    <w:p w14:paraId="5C06E77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指标2：单次维修成本，指标值：小于等于0.27万元，实际完成值：0.26万元，指标完成率：96.30%，偏差原因：维修成本为往年车辆维修及维修材料费用欠款成本，资金支付进度较缓慢。改进措施：今后进一步加大资金申请力度，确保资金及时足额支付。</w:t>
      </w:r>
    </w:p>
    <w:p w14:paraId="32E5B05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指标3：车辆保险成本，指标值：小于等于0.23万元，实际完成值：0万元，指标完成率：0%，偏差原因：业务移交，监管车辆全部上缴上级部门，故无车辆保险。改进措施：今后根据项目实际情况，及时删减绩效目标，进一步提高绩效目标设置的精准性。</w:t>
      </w:r>
    </w:p>
    <w:p w14:paraId="6D407A53">
      <w:pPr>
        <w:spacing w:before="200" w:line="220" w:lineRule="auto"/>
        <w:ind w:left="659"/>
        <w:rPr>
          <w:rFonts w:ascii="KaiTi_GB2312" w:hAnsi="KaiTi_GB2312" w:eastAsia="KaiTi_GB2312" w:cs="KaiTi_GB2312"/>
          <w:b/>
          <w:bCs/>
          <w:spacing w:val="7"/>
          <w:sz w:val="31"/>
          <w:szCs w:val="31"/>
        </w:rPr>
      </w:pPr>
      <w:r>
        <w:rPr>
          <w:rFonts w:hint="eastAsia" w:ascii="KaiTi_GB2312" w:hAnsi="KaiTi_GB2312" w:eastAsia="KaiTi_GB2312" w:cs="KaiTi_GB2312"/>
          <w:b/>
          <w:bCs/>
          <w:spacing w:val="7"/>
          <w:sz w:val="31"/>
          <w:szCs w:val="31"/>
          <w:lang w:eastAsia="zh-CN"/>
        </w:rPr>
        <w:t>（</w:t>
      </w:r>
      <w:r>
        <w:rPr>
          <w:rFonts w:hint="eastAsia" w:ascii="KaiTi_GB2312" w:hAnsi="KaiTi_GB2312" w:eastAsia="KaiTi_GB2312" w:cs="KaiTi_GB2312"/>
          <w:b/>
          <w:bCs/>
          <w:spacing w:val="7"/>
          <w:sz w:val="31"/>
          <w:szCs w:val="31"/>
          <w:lang w:val="en-US" w:eastAsia="zh-CN"/>
        </w:rPr>
        <w:t>四</w:t>
      </w:r>
      <w:r>
        <w:rPr>
          <w:rFonts w:hint="eastAsia" w:ascii="KaiTi_GB2312" w:hAnsi="KaiTi_GB2312" w:eastAsia="KaiTi_GB2312" w:cs="KaiTi_GB2312"/>
          <w:b/>
          <w:bCs/>
          <w:spacing w:val="7"/>
          <w:sz w:val="31"/>
          <w:szCs w:val="31"/>
          <w:lang w:eastAsia="zh-CN"/>
        </w:rPr>
        <w:t>）</w:t>
      </w:r>
      <w:r>
        <w:rPr>
          <w:rFonts w:ascii="KaiTi_GB2312" w:hAnsi="KaiTi_GB2312" w:eastAsia="KaiTi_GB2312" w:cs="KaiTi_GB2312"/>
          <w:b/>
          <w:bCs/>
          <w:spacing w:val="7"/>
          <w:sz w:val="31"/>
          <w:szCs w:val="31"/>
        </w:rPr>
        <w:t>项目效益情况</w:t>
      </w:r>
    </w:p>
    <w:p w14:paraId="49A3C15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项目效益类指标包括项目实施效益和满意度两方面的内容，由3个三级指标构成，权重分为20分，实际得分20分，得分率为100%。具体效益指标及满意度指标完成情况如下：</w:t>
      </w:r>
    </w:p>
    <w:p w14:paraId="4BEB0D9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6" w:firstLineChars="200"/>
        <w:jc w:val="both"/>
        <w:textAlignment w:val="baseline"/>
        <w:rPr>
          <w:rFonts w:hint="eastAsia"/>
          <w:b/>
          <w:bCs/>
          <w:spacing w:val="11"/>
          <w:lang w:val="en-US" w:eastAsia="zh-CN"/>
        </w:rPr>
      </w:pPr>
      <w:r>
        <w:rPr>
          <w:rFonts w:hint="eastAsia"/>
          <w:b/>
          <w:bCs/>
          <w:spacing w:val="11"/>
          <w:lang w:val="en-US" w:eastAsia="zh-CN"/>
        </w:rPr>
        <w:t>1.实施效益</w:t>
      </w:r>
    </w:p>
    <w:p w14:paraId="3B9CAE62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①社会效益指标：</w:t>
      </w:r>
    </w:p>
    <w:p w14:paraId="1CFE85A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default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指标1：社区服务功能提升率（%），指标值：有效提升，实际完成值：完全达到目标，指标完成率：100%。指标成效分析：通过日常开展生活垃圾清运、夏季道路清扫、洒水降尘、冬季冰雪清除、餐厨垃圾收集、重点垃圾清运及临时应急工作任务，避免垃圾长期滞留，降低细菌、病毒传播风险，减少健康隐患，高效清运减少居民对垃圾异味的投诉，提升社区和谐度，同时与物业公司建立联动机制，优化垃圾投放点管理，增强社区治理及服务能力。</w:t>
      </w:r>
    </w:p>
    <w:p w14:paraId="30A7E7F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②生态效益指标：</w:t>
      </w:r>
    </w:p>
    <w:p w14:paraId="77A8E41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default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指标1：辖区环境卫生，指标值：有效改善，实际完成值：完全达到目标，指标完成率：100%。指标成效分析：通过日常开展生活垃圾清运、夏季道路清扫、洒水降尘、冬季冰雪清除、餐厨垃圾收集、重点垃圾清运及临时应急工作任务，有效减少垃圾堆积时间，消除卫生死角，降低垃圾渗率液污染，减少扬尘和异味，提升公共空间整洁度，改善辖区环境卫生质量，降低疾病传播风险，提升居民生活幸福感。</w:t>
      </w:r>
    </w:p>
    <w:p w14:paraId="40EDFC8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6" w:firstLineChars="200"/>
        <w:jc w:val="both"/>
        <w:textAlignment w:val="baseline"/>
        <w:rPr>
          <w:rFonts w:hint="eastAsia"/>
          <w:b/>
          <w:bCs/>
          <w:spacing w:val="11"/>
          <w:lang w:val="en-US" w:eastAsia="zh-CN"/>
        </w:rPr>
      </w:pPr>
      <w:r>
        <w:rPr>
          <w:rFonts w:hint="eastAsia"/>
          <w:b/>
          <w:bCs/>
          <w:spacing w:val="11"/>
          <w:lang w:val="en-US" w:eastAsia="zh-CN"/>
        </w:rPr>
        <w:t>2.满意度指标：</w:t>
      </w:r>
    </w:p>
    <w:p w14:paraId="0E86A6E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①满意度指标：</w:t>
      </w:r>
    </w:p>
    <w:p w14:paraId="26A3C39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default" w:ascii="Arial"/>
          <w:sz w:val="21"/>
          <w:lang w:val="en-US"/>
        </w:rPr>
      </w:pPr>
      <w:r>
        <w:rPr>
          <w:rFonts w:hint="eastAsia"/>
          <w:spacing w:val="11"/>
          <w:lang w:val="en-US" w:eastAsia="zh-CN"/>
        </w:rPr>
        <w:t>指标1：辖区居民环境卫生满意度，指标值：大于等于95%，实际完成值：95%，指标完成率：100%。本次满意度调差一共发放了22份问卷：水磨沟区城市管理工作满意度的调查问卷，回收22份问卷，有效答卷22份，其中第一题：对水磨沟区的城市道路（主次干道）的环境卫生管理（如：道路的清扫与保洁、垃圾的收集、清运和处理等）的问卷结果中显示，满意和基本满意共计21人，不太关注共计1人，故辖区居民环境卫生满意度结果为21/22*100%=95%。</w:t>
      </w:r>
    </w:p>
    <w:p w14:paraId="73AD1224">
      <w:pPr>
        <w:spacing w:before="186" w:line="230" w:lineRule="auto"/>
        <w:ind w:left="667"/>
        <w:rPr>
          <w:rFonts w:ascii="黑体" w:hAnsi="黑体" w:eastAsia="黑体" w:cs="黑体"/>
          <w:spacing w:val="6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五、主要经验及做法、存在的问题及原因分析</w:t>
      </w:r>
    </w:p>
    <w:p w14:paraId="0C56F12C">
      <w:pPr>
        <w:spacing w:before="177" w:line="234" w:lineRule="auto"/>
        <w:ind w:left="676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b/>
          <w:bCs/>
          <w:spacing w:val="-4"/>
          <w:sz w:val="31"/>
          <w:szCs w:val="31"/>
        </w:rPr>
        <w:t>（一）主要经验及做法</w:t>
      </w:r>
    </w:p>
    <w:p w14:paraId="374F0E4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0880B45C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严格坚持先做事、后验收、再拨付的原则，基本杜绝了资金被挤占和挪用现象的发生，跟踪检查到位。财政、纪检、监</w:t>
      </w:r>
    </w:p>
    <w:p w14:paraId="7D414BA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58A3DAF9">
      <w:pPr>
        <w:spacing w:before="177" w:line="234" w:lineRule="auto"/>
        <w:ind w:left="676"/>
        <w:rPr>
          <w:rFonts w:ascii="楷体" w:hAnsi="楷体" w:eastAsia="楷体" w:cs="楷体"/>
          <w:b/>
          <w:bCs/>
          <w:spacing w:val="-4"/>
          <w:sz w:val="31"/>
          <w:szCs w:val="31"/>
        </w:rPr>
      </w:pPr>
      <w:r>
        <w:rPr>
          <w:rFonts w:ascii="楷体" w:hAnsi="楷体" w:eastAsia="楷体" w:cs="楷体"/>
          <w:b/>
          <w:bCs/>
          <w:spacing w:val="-4"/>
          <w:sz w:val="31"/>
          <w:szCs w:val="31"/>
        </w:rPr>
        <w:t>（二）存在的问题及原因分析</w:t>
      </w:r>
    </w:p>
    <w:p w14:paraId="09F915E6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1.相关绩效管理方面专业知识的系统性学习有待加强。各项指标的设置要进一步优化、完善，主要在细化、量化上改进。</w:t>
      </w:r>
    </w:p>
    <w:p w14:paraId="64AF595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在绩效自评过程中，</w:t>
      </w:r>
      <w:r>
        <w:rPr>
          <w:rFonts w:hint="eastAsia"/>
          <w:snapToGrid w:val="0"/>
          <w:color w:val="000000"/>
          <w:spacing w:val="11"/>
          <w:sz w:val="31"/>
          <w:lang w:val="en-US" w:eastAsia="zh-CN"/>
        </w:rPr>
        <w:t>由于部分人员</w:t>
      </w:r>
      <w:r>
        <w:rPr>
          <w:rFonts w:hint="eastAsia"/>
          <w:spacing w:val="11"/>
          <w:lang w:val="en-US" w:eastAsia="zh-CN"/>
        </w:rPr>
        <w:t>缺乏相关绩效管理专业知识，自评价工作还存在自我审定的局限性，影响评价质量。</w:t>
      </w:r>
    </w:p>
    <w:p w14:paraId="500E9CE7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2.因轮岗、调动、等因素使我单位绩效工作人员流动频繁，造成了工作衔接不到位的情况。</w:t>
      </w:r>
    </w:p>
    <w:p w14:paraId="4DD873EB">
      <w:pPr>
        <w:spacing w:before="186" w:line="230" w:lineRule="auto"/>
        <w:ind w:left="667"/>
        <w:rPr>
          <w:rFonts w:ascii="黑体" w:hAnsi="黑体" w:eastAsia="黑体" w:cs="黑体"/>
          <w:spacing w:val="6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六、有关建议</w:t>
      </w:r>
    </w:p>
    <w:p w14:paraId="362527D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1.多进行有关绩效管理工作方面的培训。积极组织第三方开展绩效管理工作培训，进一步夯实业务基础，提高我单位绩效人员水平。</w:t>
      </w:r>
    </w:p>
    <w:p w14:paraId="141AB75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2.专门设定对绩效工作人员定职、定岗、定责等相关制度措施，进一步提升我单位绩效管理工作业务水平，扎实做好绩效管理工作。</w:t>
      </w:r>
    </w:p>
    <w:p w14:paraId="6BCF3CCB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1CDC8BF8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4.进一步完善项目评价过程中有关数据和资料的收集、整理、审核及分析。项目启动时同步做好档案的归纳与整理，及时整理、收集、汇总，健全档案资料。项目后续管理有待进一步加强和跟踪。</w:t>
      </w:r>
    </w:p>
    <w:p w14:paraId="76A6E1E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64" w:firstLineChars="200"/>
        <w:jc w:val="both"/>
        <w:textAlignment w:val="baseline"/>
        <w:rPr>
          <w:rFonts w:hint="eastAsia"/>
          <w:spacing w:val="11"/>
          <w:lang w:val="en-US" w:eastAsia="zh-CN"/>
        </w:rPr>
      </w:pPr>
      <w:r>
        <w:rPr>
          <w:rFonts w:hint="eastAsia"/>
          <w:spacing w:val="11"/>
          <w:lang w:val="en-US" w:eastAsia="zh-CN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021B4C34">
      <w:pPr>
        <w:spacing w:before="197" w:line="227" w:lineRule="auto"/>
        <w:ind w:left="677"/>
        <w:rPr>
          <w:rFonts w:ascii="黑体" w:hAnsi="黑体" w:eastAsia="黑体" w:cs="黑体"/>
          <w:spacing w:val="5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七、其他需要说明的问题</w:t>
      </w:r>
    </w:p>
    <w:p w14:paraId="4EFCBE18">
      <w:pPr>
        <w:pStyle w:val="8"/>
        <w:spacing w:line="560" w:lineRule="exact"/>
        <w:ind w:firstLine="664" w:firstLineChars="200"/>
        <w:jc w:val="both"/>
        <w:rPr>
          <w:rFonts w:hint="eastAsia" w:ascii="FangSong_GB2312" w:hAnsi="FangSong_GB2312" w:eastAsia="FangSong_GB2312" w:cs="FangSong_GB2312"/>
          <w:snapToGrid w:val="0"/>
          <w:color w:val="000000"/>
          <w:spacing w:val="11"/>
          <w:kern w:val="0"/>
          <w:sz w:val="31"/>
          <w:szCs w:val="31"/>
          <w:lang w:val="en-US" w:eastAsia="zh-CN" w:bidi="ar-SA"/>
        </w:rPr>
      </w:pPr>
      <w:r>
        <w:rPr>
          <w:rFonts w:hint="eastAsia" w:ascii="FangSong_GB2312" w:hAnsi="FangSong_GB2312" w:eastAsia="FangSong_GB2312" w:cs="FangSong_GB2312"/>
          <w:snapToGrid w:val="0"/>
          <w:color w:val="000000"/>
          <w:spacing w:val="11"/>
          <w:kern w:val="0"/>
          <w:sz w:val="31"/>
          <w:szCs w:val="31"/>
          <w:lang w:val="en-US" w:eastAsia="zh-CN" w:bidi="ar-SA"/>
        </w:rPr>
        <w:t>1.项目支出政策和路径设计科学，符合实际需要；</w:t>
      </w:r>
    </w:p>
    <w:p w14:paraId="040B06CF">
      <w:pPr>
        <w:pStyle w:val="8"/>
        <w:spacing w:line="560" w:lineRule="exact"/>
        <w:ind w:firstLine="664" w:firstLineChars="200"/>
        <w:jc w:val="both"/>
        <w:rPr>
          <w:rFonts w:hint="eastAsia" w:ascii="FangSong_GB2312" w:hAnsi="FangSong_GB2312" w:eastAsia="FangSong_GB2312" w:cs="FangSong_GB2312"/>
          <w:snapToGrid w:val="0"/>
          <w:color w:val="000000"/>
          <w:spacing w:val="11"/>
          <w:kern w:val="0"/>
          <w:sz w:val="31"/>
          <w:szCs w:val="31"/>
          <w:lang w:val="en-US" w:eastAsia="zh-CN" w:bidi="ar-SA"/>
        </w:rPr>
      </w:pPr>
      <w:r>
        <w:rPr>
          <w:rFonts w:hint="eastAsia" w:ascii="FangSong_GB2312" w:hAnsi="FangSong_GB2312" w:eastAsia="FangSong_GB2312" w:cs="FangSong_GB2312"/>
          <w:snapToGrid w:val="0"/>
          <w:color w:val="000000"/>
          <w:spacing w:val="11"/>
          <w:kern w:val="0"/>
          <w:sz w:val="31"/>
          <w:szCs w:val="31"/>
          <w:lang w:val="en-US" w:eastAsia="zh-CN" w:bidi="ar-SA"/>
        </w:rPr>
        <w:t>2.项目安排准确，未发现背离项目立项初衷的情况；</w:t>
      </w:r>
    </w:p>
    <w:p w14:paraId="29D152CB">
      <w:pPr>
        <w:pStyle w:val="8"/>
        <w:spacing w:line="560" w:lineRule="exact"/>
        <w:ind w:firstLine="664" w:firstLineChars="200"/>
        <w:jc w:val="both"/>
        <w:rPr>
          <w:rFonts w:hint="eastAsia" w:ascii="FangSong_GB2312" w:hAnsi="FangSong_GB2312" w:eastAsia="FangSong_GB2312" w:cs="FangSong_GB2312"/>
          <w:snapToGrid w:val="0"/>
          <w:color w:val="000000"/>
          <w:spacing w:val="11"/>
          <w:kern w:val="0"/>
          <w:sz w:val="31"/>
          <w:szCs w:val="31"/>
          <w:lang w:val="en-US" w:eastAsia="zh-CN" w:bidi="ar-SA"/>
        </w:rPr>
      </w:pPr>
      <w:r>
        <w:rPr>
          <w:rFonts w:hint="eastAsia" w:ascii="FangSong_GB2312" w:hAnsi="FangSong_GB2312" w:eastAsia="FangSong_GB2312" w:cs="FangSong_GB2312"/>
          <w:snapToGrid w:val="0"/>
          <w:color w:val="000000"/>
          <w:spacing w:val="11"/>
          <w:kern w:val="0"/>
          <w:sz w:val="31"/>
          <w:szCs w:val="31"/>
          <w:lang w:val="en-US" w:eastAsia="zh-CN" w:bidi="ar-SA"/>
        </w:rPr>
        <w:t>3.项目的申报、审核机制完善；</w:t>
      </w:r>
    </w:p>
    <w:p w14:paraId="0B10A4D0">
      <w:pPr>
        <w:pStyle w:val="8"/>
        <w:spacing w:line="560" w:lineRule="exact"/>
        <w:ind w:firstLine="664" w:firstLineChars="200"/>
        <w:jc w:val="both"/>
        <w:rPr>
          <w:rFonts w:hint="eastAsia" w:ascii="FangSong_GB2312" w:hAnsi="FangSong_GB2312" w:eastAsia="FangSong_GB2312" w:cs="FangSong_GB2312"/>
          <w:snapToGrid w:val="0"/>
          <w:color w:val="000000"/>
          <w:spacing w:val="11"/>
          <w:kern w:val="0"/>
          <w:sz w:val="31"/>
          <w:szCs w:val="31"/>
          <w:lang w:val="en-US" w:eastAsia="zh-CN" w:bidi="ar-SA"/>
        </w:rPr>
      </w:pPr>
      <w:r>
        <w:rPr>
          <w:rFonts w:hint="eastAsia" w:ascii="FangSong_GB2312" w:hAnsi="FangSong_GB2312" w:eastAsia="FangSong_GB2312" w:cs="FangSong_GB2312"/>
          <w:snapToGrid w:val="0"/>
          <w:color w:val="000000"/>
          <w:spacing w:val="11"/>
          <w:kern w:val="0"/>
          <w:sz w:val="31"/>
          <w:szCs w:val="31"/>
          <w:lang w:val="en-US" w:eastAsia="zh-CN" w:bidi="ar-SA"/>
        </w:rPr>
        <w:t>4.未发现虚假行为和骗取财政资金的问题。</w:t>
      </w:r>
    </w:p>
    <w:p w14:paraId="166459E5">
      <w:pPr>
        <w:rPr>
          <w:rFonts w:ascii="Arial"/>
          <w:sz w:val="21"/>
        </w:rPr>
      </w:pPr>
      <w:bookmarkStart w:id="0" w:name="_GoBack"/>
      <w:bookmarkEnd w:id="0"/>
    </w:p>
    <w:sectPr>
      <w:footerReference r:id="rId7" w:type="default"/>
      <w:pgSz w:w="11906" w:h="16839"/>
      <w:pgMar w:top="2068" w:right="1378" w:bottom="2067" w:left="400" w:header="0" w:footer="121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5EEE1479-75B3-49AF-B3DC-8686D93585FF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0D1658DF-E08D-4722-8639-5C351B9B6D5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419AD607-4506-4295-AD9C-9C25A967158E}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45C9FF4D-E388-45DB-A656-93C5877DB86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5AC355BE-1950-499E-A15D-C10781AD6C94}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6E6E3BD3-2EDE-4507-B8E7-A572C06F47B7}"/>
  </w:font>
  <w:font w:name="KaiTi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7" w:fontKey="{52B7A4D8-EE99-4F03-A768-3C2B3C81FCFF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8" w:fontKey="{D5BE6B33-2B6F-414F-B722-3BA87DD4A44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9" w:fontKey="{6A2F1C93-2515-4A4C-8B31-6B5DE742F5F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77D87F">
    <w:pPr>
      <w:spacing w:line="14" w:lineRule="auto"/>
      <w:rPr>
        <w:rFonts w:ascii="Arial"/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F88C7B">
    <w:pPr>
      <w:spacing w:line="169" w:lineRule="auto"/>
      <w:ind w:left="627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A99ADC"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singleLevel"/>
    <w:tmpl w:val="0053208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displayBackgroundShape w:val="1"/>
  <w:embedTrueTypeFonts/>
  <w:saveSubsetFonts/>
  <w:bordersDoNotSurroundHeader w:val="0"/>
  <w:bordersDoNotSurroundFooter w:val="0"/>
  <w:doNotTrackMoves/>
  <w:documentProtection w:enforcement="0"/>
  <w:defaultTabStop w:val="72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2C8C33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table" w:styleId="5">
    <w:name w:val="Table Grid"/>
    <w:basedOn w:val="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Comment Text"/>
    <w:basedOn w:val="1"/>
    <w:semiHidden/>
    <w:unhideWhenUsed/>
    <w:qFormat/>
    <w:uiPriority w:val="99"/>
    <w:pPr>
      <w:jc w:val="left"/>
    </w:pPr>
    <w:rPr>
      <w:rFonts w:ascii="Times New Roman" w:hAnsi="Times New Roman" w:eastAsia="宋体" w:cs="Times New Roman"/>
      <w:szCs w:val="24"/>
    </w:rPr>
  </w:style>
  <w:style w:type="paragraph" w:customStyle="1" w:styleId="9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2025-06-30T13:30:01Z</vt:filetime>
  </property>
  <property fmtid="{D5CDD505-2E9C-101B-9397-08002B2CF9AE}" pid="4" name="KSOTemplateDocerSaveRecord">
    <vt:lpwstr>eyJoZGlkIjoiNzIyMDM1MmMwOGU5NmNmMTAyYzNmYzBkYjE4MmExOTQiLCJ1c2VySWQiOiI2NzI2Mjg4ODYifQ==</vt:lpwstr>
  </property>
  <property fmtid="{D5CDD505-2E9C-101B-9397-08002B2CF9AE}" pid="5" name="KSOProductBuildVer">
    <vt:lpwstr>2052-11.8.2.8696</vt:lpwstr>
  </property>
  <property fmtid="{D5CDD505-2E9C-101B-9397-08002B2CF9AE}" pid="6" name="ICV">
    <vt:lpwstr>55F80C2522AB49CDB0A110431EDAE591_12</vt:lpwstr>
  </property>
</Properties>
</file>

<file path=customXml/itemProps1.xml><?xml version="1.0" encoding="utf-8"?>
<ds:datastoreItem xmlns:ds="http://schemas.openxmlformats.org/officeDocument/2006/customXml" ds:itemID="{b3312de7-a7d8-419a-9dbb-ed5fb9a851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19</Pages>
  <Words>18</Words>
  <Characters>19</Characters>
  <TotalTime>1</TotalTime>
  <ScaleCrop>false</ScaleCrop>
  <LinksUpToDate>false</LinksUpToDate>
  <CharactersWithSpaces>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2025-05-13T16:28:00Z</dcterms:created>
  <dc:creator>Finisher</dc:creator>
  <cp:lastModifiedBy>白羊</cp:lastModifiedBy>
  <dcterms:modified xsi:type="dcterms:W3CDTF">2025-11-05T03:20:07Z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2025-06-29T16:00:00Z</vt:filetime>
  </property>
  <property fmtid="{D5CDD505-2E9C-101B-9397-08002B2CF9AE}" pid="4" name="KSOTemplateDocerSaveRecord">
    <vt:lpwstr>eyJoZGlkIjoiYjM4NWYyMWE2NWU1OGNiMmIxMmZkYzA5MWEwNzJlZmIiLCJ1c2VySWQiOiI0MzE2NzY3NzkifQ==</vt:lpwstr>
  </property>
  <property fmtid="{D5CDD505-2E9C-101B-9397-08002B2CF9AE}" pid="5" name="KSOProductBuildVer">
    <vt:lpwstr>2052-12.1.0.23542</vt:lpwstr>
  </property>
  <property fmtid="{D5CDD505-2E9C-101B-9397-08002B2CF9AE}" pid="6" name="ICV">
    <vt:lpwstr>55F80C2522AB49CDB0A110431EDAE591_12</vt:lpwstr>
  </property>
</Properties>
</file>